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C44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RECURSO REFERENTE AO TERMO DE EXCLUSÃO DO SIMPLES NACIONAL</w:t>
      </w:r>
    </w:p>
    <w:p w14:paraId="6283D20B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61DE76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Sujeito Passivo: </w:t>
      </w:r>
    </w:p>
    <w:p w14:paraId="74445554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C8A66C8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CNPJ</w:t>
      </w:r>
      <w:r>
        <w:rPr>
          <w:rFonts w:ascii="Tahoma" w:hAnsi="Tahoma" w:cs="Tahoma"/>
        </w:rPr>
        <w:t xml:space="preserve">: </w:t>
      </w:r>
    </w:p>
    <w:p w14:paraId="6495FCD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910C8FF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contribuinte acima identificado foi notificado com o termo de exclusão do Simples Nacional referente ao ano de 2018, por possuir despesas que ultrapassam em 20% os</w:t>
      </w:r>
    </w:p>
    <w:p w14:paraId="43FBCE2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ingressos de recursos conforme notificação enviada em </w:t>
      </w:r>
      <w:proofErr w:type="spellStart"/>
      <w:r>
        <w:rPr>
          <w:rFonts w:ascii="Tahoma" w:hAnsi="Tahoma" w:cs="Tahoma"/>
        </w:rPr>
        <w:t>xxxxxxxxxx</w:t>
      </w:r>
      <w:proofErr w:type="spellEnd"/>
      <w:r>
        <w:rPr>
          <w:rFonts w:ascii="Tahoma" w:hAnsi="Tahoma" w:cs="Tahoma"/>
        </w:rPr>
        <w:t xml:space="preserve">. </w:t>
      </w:r>
    </w:p>
    <w:p w14:paraId="2E1FAC9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02E011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Diante da notificação recebida a empresa acima qualificada realizou uma minuciosa análise para averiguação dos fatos mencionados pela Secretaria da Fazendo do Estado do Ceará, doravante Sefaz – CE e foi interposto um Recuso para Impugnação </w:t>
      </w:r>
      <w:proofErr w:type="spellStart"/>
      <w:r>
        <w:rPr>
          <w:rFonts w:ascii="Tahoma" w:hAnsi="Tahoma" w:cs="Tahoma"/>
        </w:rPr>
        <w:t>xxxxxxx</w:t>
      </w:r>
      <w:proofErr w:type="spellEnd"/>
      <w:r>
        <w:rPr>
          <w:rFonts w:ascii="Tahoma" w:hAnsi="Tahoma" w:cs="Tahoma"/>
        </w:rPr>
        <w:t xml:space="preserve"> por meio do processo </w:t>
      </w:r>
      <w:proofErr w:type="spellStart"/>
      <w:r>
        <w:rPr>
          <w:rFonts w:ascii="Tahoma" w:hAnsi="Tahoma" w:cs="Tahoma"/>
        </w:rPr>
        <w:t>xxxxxxxxxxx</w:t>
      </w:r>
      <w:proofErr w:type="spellEnd"/>
      <w:r>
        <w:rPr>
          <w:rFonts w:ascii="Tahoma" w:hAnsi="Tahoma" w:cs="Tahoma"/>
        </w:rPr>
        <w:t>. (datar e colocar o número do processo.)</w:t>
      </w:r>
    </w:p>
    <w:p w14:paraId="4FEBB095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FE221F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 realizarmos uma análise minuciosa dos fatos, constatamos o seguinte:</w:t>
      </w:r>
    </w:p>
    <w:p w14:paraId="413CDDE9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71A18CC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ano de 2018, a empresa obteve um aporte para futuro aumento de capital do Sócio </w:t>
      </w:r>
      <w:proofErr w:type="spellStart"/>
      <w:r>
        <w:rPr>
          <w:rFonts w:ascii="Tahoma" w:hAnsi="Tahoma" w:cs="Tahoma"/>
        </w:rPr>
        <w:t>xxxxxxxxxx</w:t>
      </w:r>
      <w:proofErr w:type="spellEnd"/>
      <w:r>
        <w:rPr>
          <w:rFonts w:ascii="Tahoma" w:hAnsi="Tahoma" w:cs="Tahoma"/>
        </w:rPr>
        <w:t xml:space="preserve">, no valor de R$ 170.000,00. Desta forma no ano de 2018, a empresa obteve como ingressos de recurso o valor de suas revendas de mercadorias e </w:t>
      </w:r>
      <w:r>
        <w:rPr>
          <w:rFonts w:ascii="Tahoma" w:hAnsi="Tahoma" w:cs="Tahoma"/>
          <w:b/>
          <w:bCs/>
        </w:rPr>
        <w:t>o valor aportado pelo sócio da época</w:t>
      </w:r>
      <w:r>
        <w:rPr>
          <w:rFonts w:ascii="Tahoma" w:hAnsi="Tahoma" w:cs="Tahoma"/>
        </w:rPr>
        <w:t>. Onde a relação das despesas x ingressos de recursos não ultrapassa em 20% conforme determina o fisco e mediante a análise realizada pela empresa.</w:t>
      </w:r>
    </w:p>
    <w:p w14:paraId="1F362C3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C4A24B8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comprovação das operações, foram enviadas para a análise do fisco as documentações que comprovam as informações analisadas pela empresa, enviadas conforme a legislação a luz da época, que era a Instrução Normativa 79 de 18 de novembro de 2019.</w:t>
      </w:r>
    </w:p>
    <w:p w14:paraId="436FADA4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E653DBA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 w:right="-285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INSTRUÇÃO NORMATIVA N.º 79, DE 18 DE NOVEMBRO DE 2019</w:t>
      </w:r>
    </w:p>
    <w:p w14:paraId="7CFDD78B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3142DA92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Art. 5.º Da apuração do resultado do ICMS a recolher de que trata esta Instrução Normativa poderá ser apresentado recurso ao Coordenador da COATE, no prazo de 30 (trinta) dias contados da ciência da apuração ao contribuinte.</w:t>
      </w:r>
    </w:p>
    <w:p w14:paraId="6CC7DC3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A59221F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§ 1.º O contribuinte deverá instruir o recurso com os documentos fiscais, contábeis e financeiros necessários para comprovar as suas alegações.</w:t>
      </w:r>
    </w:p>
    <w:p w14:paraId="587ED2C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46A16FC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§ 2.º No Livro Caixa deverá estar escriturada toda sua movimentação financeira e bancária, conforme art. 63, inciso I, da Resolução CGSN n.º 140, de 2018. (grifo nosso)</w:t>
      </w:r>
    </w:p>
    <w:p w14:paraId="45007579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DA77813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CB657ED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documentações enviadas para comprovação das informações verificadas por meio das análises realizadas foram: </w:t>
      </w:r>
    </w:p>
    <w:p w14:paraId="5A5815EF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04E4ED0" w14:textId="77777777" w:rsidR="008A5348" w:rsidRDefault="008A5348" w:rsidP="008A534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Declaração Imposto de Renda Pessoa Física do sócio da época: </w:t>
      </w:r>
      <w:proofErr w:type="spellStart"/>
      <w:r>
        <w:rPr>
          <w:rFonts w:ascii="Tahoma" w:hAnsi="Tahoma" w:cs="Tahoma"/>
        </w:rPr>
        <w:t>xxxxxx</w:t>
      </w:r>
      <w:proofErr w:type="spellEnd"/>
      <w:r>
        <w:rPr>
          <w:rFonts w:ascii="Tahoma" w:hAnsi="Tahoma" w:cs="Tahoma"/>
        </w:rPr>
        <w:t xml:space="preserve">; </w:t>
      </w:r>
    </w:p>
    <w:p w14:paraId="573244FF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E8DD6C3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274BCD2" w14:textId="77777777" w:rsidR="008A5348" w:rsidRDefault="008A5348" w:rsidP="008A534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Recibo de Envio do imposto de renda pessoa física - Nº recibo </w:t>
      </w:r>
      <w:proofErr w:type="spellStart"/>
      <w:r>
        <w:rPr>
          <w:rFonts w:ascii="Tahoma" w:hAnsi="Tahoma" w:cs="Tahoma"/>
        </w:rPr>
        <w:t>xx.xx.xx.xx.xx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xx</w:t>
      </w:r>
      <w:proofErr w:type="spellEnd"/>
    </w:p>
    <w:p w14:paraId="337CB728" w14:textId="77777777" w:rsidR="008A5348" w:rsidRDefault="008A5348" w:rsidP="008A534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28B3E77" w14:textId="77777777" w:rsidR="008A5348" w:rsidRDefault="008A5348" w:rsidP="008A534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Livro Caixa com a escrituração do aporte para futuro aumento de capital;</w:t>
      </w:r>
    </w:p>
    <w:p w14:paraId="42E83944" w14:textId="77777777" w:rsidR="008A5348" w:rsidRDefault="008A5348" w:rsidP="008A534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1E9BDF8" w14:textId="77777777" w:rsidR="008A5348" w:rsidRDefault="008A5348" w:rsidP="008A534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Requerimento de empresário com o sócio da época;</w:t>
      </w:r>
    </w:p>
    <w:p w14:paraId="5F29ABE2" w14:textId="77777777" w:rsidR="008A5348" w:rsidRDefault="008A5348" w:rsidP="008A534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CB3E04E" w14:textId="77777777" w:rsidR="008A5348" w:rsidRDefault="008A5348" w:rsidP="008A534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Razão conciliação da conta de aporte para futuro aumento de capital.</w:t>
      </w:r>
    </w:p>
    <w:p w14:paraId="7BB0FD0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FE8F16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682DFC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o artigo 01º, parágrafo 02º, inciso I  da Instrução Normativa 79/2019, a empresa estará enquadrada no evento 379 quando o  valor das despesas pagas superar em 20% (vinte por cento) o valor de ingressos de recursos no mesmo período, e conforme </w:t>
      </w:r>
      <w:bookmarkStart w:id="0" w:name="_Hlk129872434"/>
      <w:r>
        <w:rPr>
          <w:rFonts w:ascii="Tahoma" w:hAnsi="Tahoma" w:cs="Tahoma"/>
        </w:rPr>
        <w:t xml:space="preserve">análise das despesas x Ingressos de Recursos </w:t>
      </w:r>
      <w:bookmarkEnd w:id="0"/>
      <w:r>
        <w:rPr>
          <w:rFonts w:ascii="Tahoma" w:hAnsi="Tahoma" w:cs="Tahoma"/>
        </w:rPr>
        <w:t>já apresentada a Sefaz - CE  foi verificado que a empresa durante o exercício de 2018 possuía ingressos de recursos suficientes para não ser enquadrada no evento 379 conforme exposto no quadro 01 a seguir.</w:t>
      </w:r>
    </w:p>
    <w:p w14:paraId="55D0A95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0FC6D34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Art. 1.º A Secretaria da Fazenda do Estado do Ceará (SEFAZ) deverá conferir ao contribuinte a possibilidade de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autorregularização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relativa às diferenças de Imposto sobre Operações relativas à Circulação de Mercadorias e sobre Prestações de Serviços de Transporte Interestadual e Intermunicipal e de Comunicação (ICMS) a recolher encontradas entre as receitas declaradas pelos contribuintes e as efetivamente apuradas pelo Fisco, mediante acompanhamento e controle eletrônico, automatizado, sistematizado e contínuo do cumprimento das obrigações tributárias principais e acessórias relativas às operações e prestações praticadas por Microempresas (ME) e Empresas de Pequeno Porte (EPP) optantes pelo Simples Nacional.</w:t>
      </w:r>
    </w:p>
    <w:p w14:paraId="2EF6497F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96E4C4D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(...)</w:t>
      </w:r>
    </w:p>
    <w:p w14:paraId="57720488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C24B816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§ 2.º A SEFAZ, quando da verificação do cumprimento das obrigações tributárias das empresas de que trata este artigo, analisará as operações de compra, venda, despesas e declarações de estoque a elas relativas, bem como examinará se durante o ano-calendário ocorreram situações que as tenham feito incorrer nos seguintes eventos:</w:t>
      </w:r>
    </w:p>
    <w:p w14:paraId="37B7064D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379777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I –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o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valor das despesas pagas superar em 20% (vinte por cento) 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valor de ingressos de recursos no mesmo período</w:t>
      </w:r>
      <w:r>
        <w:rPr>
          <w:rFonts w:ascii="Tahoma" w:hAnsi="Tahoma" w:cs="Tahoma"/>
          <w:i/>
          <w:iCs/>
          <w:sz w:val="20"/>
          <w:szCs w:val="20"/>
        </w:rPr>
        <w:t>, excluído o ano de início de atividade (Evento 379);</w:t>
      </w:r>
    </w:p>
    <w:p w14:paraId="65E7D7C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(grifo nosso)</w:t>
      </w:r>
    </w:p>
    <w:p w14:paraId="0A4CFFAD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6F94D4A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516E79F" w14:textId="77777777" w:rsidR="008A5348" w:rsidRDefault="008A5348" w:rsidP="008A534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Quadro 01 - Análise das despesas x Ingressos de Recursos ano 2018</w:t>
      </w:r>
    </w:p>
    <w:p w14:paraId="3AC0B380" w14:textId="77777777" w:rsidR="008A5348" w:rsidRDefault="008A5348" w:rsidP="008A534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DB30F31" w14:textId="73A2F75F" w:rsidR="008A5348" w:rsidRDefault="008A5348" w:rsidP="008A53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6BDB4158" wp14:editId="2D5010D8">
            <wp:extent cx="3619500" cy="2085975"/>
            <wp:effectExtent l="19050" t="19050" r="19050" b="28575"/>
            <wp:docPr id="3936606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85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5A8E8A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21AFF67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0C4DFE5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Diante das comprovações apresentadas pela empresa é possível sanar qualquer pendência referente ao Evento 379 no exercício de 2018, a empresa Interpôs o Recurso munido de toda documentação legal para comprovação das informações prestadas junto a fisco e em meados de 24 de agosto de 2022 recebeu o Despacho nº 08763/2022 emitido pela Sefaz CE indeferindo o processo nº 01563072/2020.</w:t>
      </w:r>
    </w:p>
    <w:p w14:paraId="0BCE26F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EBA86BB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Das alegações para o Indeferimento a Sefaz CE informou que os argumentos alegados não foram comprovados por meio de:</w:t>
      </w:r>
    </w:p>
    <w:p w14:paraId="54CFB76F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FBCEEC6" w14:textId="77777777" w:rsidR="008A5348" w:rsidRDefault="008A5348" w:rsidP="008A53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Instrumento firmado entre o sócio e a sociedade contendo: Natureza, valor e prazo da operação financeira;</w:t>
      </w:r>
    </w:p>
    <w:p w14:paraId="4E20E66A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F344B18" w14:textId="77777777" w:rsidR="008A5348" w:rsidRDefault="008A5348" w:rsidP="008A53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Alteração contratual pertinente ao aumento de capital social haja vista decurso de 120 dias da operação.</w:t>
      </w:r>
    </w:p>
    <w:p w14:paraId="7431C8B5" w14:textId="77777777" w:rsidR="008A5348" w:rsidRDefault="008A5348" w:rsidP="008A5348">
      <w:pPr>
        <w:pStyle w:val="PargrafodaLista"/>
        <w:rPr>
          <w:rFonts w:ascii="Tahoma" w:hAnsi="Tahoma" w:cs="Tahoma"/>
        </w:rPr>
      </w:pPr>
    </w:p>
    <w:p w14:paraId="34EDC4A9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alegações para o indeferimento do processo são descabidas, uma vez que a operação de ingressos de recurso na empresa foi um adiantamento para futuro aumento de capital doravante AFAC, não sendo esta operação passível de </w:t>
      </w:r>
      <w:r>
        <w:rPr>
          <w:rFonts w:ascii="Tahoma" w:hAnsi="Tahoma" w:cs="Tahoma"/>
          <w:b/>
          <w:bCs/>
        </w:rPr>
        <w:t xml:space="preserve">Instrumento firmado entre o sócio e a sociedade contendo: Natureza, valor e prazo da operação financeira </w:t>
      </w:r>
      <w:r>
        <w:rPr>
          <w:rFonts w:ascii="Tahoma" w:hAnsi="Tahoma" w:cs="Tahoma"/>
        </w:rPr>
        <w:t>conforme justificativa para indeferimento do processo. O AFAC é um tipo de aporte feito pelos acionistas para a pessoa jurídica, com a finalidade de aumentar o Capital Social a ser incorporado ao Patrimônio Líquido.</w:t>
      </w:r>
    </w:p>
    <w:p w14:paraId="209E5971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5DA19EA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Conforme mencionado no Item 68 da Resolução CFC 1.159/2009, os valores de AFAC não terão devolução quando de fato foram aportados para futuro aumento de capital e forem registrados no Patrimônio Líquido, após a conta de capital social. Foi verificado na documentação contábil da empresa acima qualificada que a contabilização da AFAC está conforme o Item 68 da Resolução CFC 1.159/2009 afastando assim qualquer qualificação como operação financeira. O conceito de AFAC ele é definido como um adiantamento que se destine, específica e irrevogavelmente ao aumento do capital social da beneficiária.</w:t>
      </w:r>
    </w:p>
    <w:p w14:paraId="4B212C5B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2AF6CC2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EEC362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</w:rPr>
        <w:lastRenderedPageBreak/>
        <w:t xml:space="preserve">O fisco solicitar um </w:t>
      </w:r>
      <w:r>
        <w:rPr>
          <w:rFonts w:ascii="Tahoma" w:hAnsi="Tahoma" w:cs="Tahoma"/>
          <w:b/>
          <w:bCs/>
        </w:rPr>
        <w:t xml:space="preserve">Instrumento firmado entre o sócio e a sociedade contendo: Natureza, valor e prazo da operação financeira </w:t>
      </w:r>
      <w:r>
        <w:rPr>
          <w:rFonts w:ascii="Tahoma" w:hAnsi="Tahoma" w:cs="Tahoma"/>
        </w:rPr>
        <w:t>para uma operação de AFAC não tem cabimento, visto que não estamos tratando de operação de mútuo.</w:t>
      </w:r>
    </w:p>
    <w:p w14:paraId="36E7452C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</w:pPr>
    </w:p>
    <w:p w14:paraId="6155873E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Mútuo não se confunde com o AFAC. Isso porque: </w:t>
      </w:r>
    </w:p>
    <w:p w14:paraId="293242B2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14:paraId="08357318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mútuo constitui uma espécie de empréstimo, pelo qual o mutuante transmite a propriedade de coisa móvel fungível, com a obrigação do mutuário de restituir coisa do mesmo gênero, qualidade e quantidade (art. 586 do Código Civil), o contrato de mútuo apresenta um prazo para o pagamento do empréstimo e uma taxa de juros a ser aplicada sobre os recursos emprestados.</w:t>
      </w:r>
    </w:p>
    <w:p w14:paraId="058D1DB0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1B8A4BC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AFAC corresponde a uma importância entregue à sociedade, por seus acionistas ou quotistas, vinculada a um futuro aumento de capital.  Em condições normais, esperasse que o aumento de capital seja aprovado e os recursos, capitalizados, e isso de fato podemos comprovar por meio da documentação enviada.</w:t>
      </w:r>
    </w:p>
    <w:p w14:paraId="739471D2" w14:textId="77777777" w:rsidR="008A5348" w:rsidRDefault="008A5348" w:rsidP="008A53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20DF87F7" w14:textId="77777777" w:rsidR="008A5348" w:rsidRDefault="008A5348" w:rsidP="008A53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 necessidade imediata de aporte de recursos na sociedade para quitação de obrigação vencida ou vincenda, por falta momentânea de caixa, são fundamentos sociais e econômicos que levam as pessoas a utilizarem a AFAC pois não há tempo hábil para deliberação dos sócios em AGE sobre a questão e proporção do capital social com base no referido aporte.</w:t>
      </w:r>
    </w:p>
    <w:p w14:paraId="3A6FE02E" w14:textId="77777777" w:rsidR="008A5348" w:rsidRDefault="008A5348" w:rsidP="008A53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70F80931" w14:textId="77777777" w:rsidR="008A5348" w:rsidRDefault="008A5348" w:rsidP="008A53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No que tange ao regramento normativo do AFAC, na legislação brasileira não existe nenhum dispositivo específico, entretanto podemos encontrar alguns dispositivos no Código Civil e na Lei das S.A. (Lei nº 6.404/76), tratando dessa figura, e podendo servir como base normativa mínima para permitir a realização do AFAC.</w:t>
      </w:r>
    </w:p>
    <w:p w14:paraId="76859DC0" w14:textId="77777777" w:rsidR="008A5348" w:rsidRDefault="008A5348" w:rsidP="008A53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7F01BFD0" w14:textId="77777777" w:rsidR="008A5348" w:rsidRDefault="008A5348" w:rsidP="008A53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Importante, observar que o Conselho Federal de Contabilidade tratou sobre o AFAC na Resolução 1.159/2009, quando da aprovação do comunicado técnico CTG 2000, itens 68-69, tratando das formas de lançamento e contabilização do AFAC conforme mencionado acima.</w:t>
      </w:r>
    </w:p>
    <w:p w14:paraId="5CAEA833" w14:textId="7C5ECB4E" w:rsidR="001F024F" w:rsidRPr="002744EE" w:rsidRDefault="008A5348" w:rsidP="002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  <w:r w:rsidR="00C67A4F" w:rsidRPr="002744EE">
        <w:rPr>
          <w:rFonts w:ascii="Arial" w:hAnsi="Arial" w:cs="Arial"/>
          <w:b/>
        </w:rPr>
        <w:t>DEFESA TERMO DE EXCLUSÃO DO SIMPLES NACIONAL</w:t>
      </w:r>
    </w:p>
    <w:p w14:paraId="3377920E" w14:textId="77777777" w:rsidR="00F558C6" w:rsidRDefault="00C67A4F" w:rsidP="002744EE">
      <w:pPr>
        <w:jc w:val="both"/>
        <w:rPr>
          <w:rFonts w:ascii="Arial" w:hAnsi="Arial" w:cs="Arial"/>
        </w:rPr>
      </w:pPr>
      <w:r w:rsidRPr="002744EE">
        <w:rPr>
          <w:rFonts w:ascii="Arial" w:hAnsi="Arial" w:cs="Arial"/>
          <w:b/>
        </w:rPr>
        <w:t>Sujeito Passivo:</w:t>
      </w:r>
      <w:r w:rsidRPr="002744EE">
        <w:rPr>
          <w:rFonts w:ascii="Arial" w:hAnsi="Arial" w:cs="Arial"/>
        </w:rPr>
        <w:t xml:space="preserve"> </w:t>
      </w:r>
    </w:p>
    <w:p w14:paraId="0D2B01A6" w14:textId="77777777" w:rsidR="00C67A4F" w:rsidRPr="002744EE" w:rsidRDefault="00C67A4F" w:rsidP="002744EE">
      <w:pPr>
        <w:jc w:val="both"/>
        <w:rPr>
          <w:rFonts w:ascii="Arial" w:hAnsi="Arial" w:cs="Arial"/>
        </w:rPr>
      </w:pPr>
      <w:r w:rsidRPr="002744EE">
        <w:rPr>
          <w:rFonts w:ascii="Arial" w:hAnsi="Arial" w:cs="Arial"/>
          <w:b/>
        </w:rPr>
        <w:t>CNPJ</w:t>
      </w:r>
      <w:r w:rsidRPr="002744EE">
        <w:rPr>
          <w:rFonts w:ascii="Arial" w:hAnsi="Arial" w:cs="Arial"/>
        </w:rPr>
        <w:t xml:space="preserve">: </w:t>
      </w:r>
    </w:p>
    <w:p w14:paraId="45EAF99F" w14:textId="77777777" w:rsidR="00C67A4F" w:rsidRPr="002744EE" w:rsidRDefault="00C67A4F" w:rsidP="002744EE">
      <w:pPr>
        <w:jc w:val="both"/>
        <w:rPr>
          <w:rFonts w:ascii="Arial" w:hAnsi="Arial" w:cs="Arial"/>
        </w:rPr>
      </w:pPr>
    </w:p>
    <w:p w14:paraId="62772B11" w14:textId="77777777" w:rsidR="00C67A4F" w:rsidRPr="002744EE" w:rsidRDefault="00C67A4F" w:rsidP="00F46BD5">
      <w:pPr>
        <w:jc w:val="both"/>
        <w:rPr>
          <w:rFonts w:ascii="Arial" w:hAnsi="Arial" w:cs="Arial"/>
        </w:rPr>
      </w:pPr>
      <w:r w:rsidRPr="002744EE">
        <w:rPr>
          <w:rFonts w:ascii="Arial" w:hAnsi="Arial" w:cs="Arial"/>
        </w:rPr>
        <w:t xml:space="preserve">O contribuinte acima identificado foi notificado </w:t>
      </w:r>
      <w:r w:rsidR="00CF0153">
        <w:rPr>
          <w:rFonts w:ascii="Arial" w:hAnsi="Arial" w:cs="Arial"/>
        </w:rPr>
        <w:t>com o termo de</w:t>
      </w:r>
      <w:r w:rsidRPr="002744EE">
        <w:rPr>
          <w:rFonts w:ascii="Arial" w:hAnsi="Arial" w:cs="Arial"/>
        </w:rPr>
        <w:t xml:space="preserve"> exclusão do Simples Nacional referente ao ano de 2018</w:t>
      </w:r>
      <w:r w:rsidR="00F558C6">
        <w:rPr>
          <w:rFonts w:ascii="Arial" w:hAnsi="Arial" w:cs="Arial"/>
        </w:rPr>
        <w:t>, por possuir despesas que ultrapassam em 20% os ingressos de recursos</w:t>
      </w:r>
      <w:r w:rsidRPr="002744EE">
        <w:rPr>
          <w:rFonts w:ascii="Arial" w:hAnsi="Arial" w:cs="Arial"/>
        </w:rPr>
        <w:t>.</w:t>
      </w:r>
    </w:p>
    <w:p w14:paraId="10BC1102" w14:textId="77777777" w:rsidR="00C67A4F" w:rsidRPr="002744EE" w:rsidRDefault="00C67A4F" w:rsidP="00F46BD5">
      <w:pPr>
        <w:jc w:val="both"/>
        <w:rPr>
          <w:rFonts w:ascii="Arial" w:hAnsi="Arial" w:cs="Arial"/>
        </w:rPr>
      </w:pPr>
      <w:r w:rsidRPr="002744EE">
        <w:rPr>
          <w:rFonts w:ascii="Arial" w:hAnsi="Arial" w:cs="Arial"/>
        </w:rPr>
        <w:t>Ao realizarmos uma análise minuciosa do fato mencionado, constatamos o seguinte:</w:t>
      </w:r>
    </w:p>
    <w:p w14:paraId="19E5276F" w14:textId="77777777" w:rsidR="00F558C6" w:rsidRDefault="00F558C6" w:rsidP="00F55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ano de 2018, a empresa obteve um aporte para futuro aumento de capital do Sócio</w:t>
      </w:r>
      <w:r w:rsidR="005D4C8E">
        <w:rPr>
          <w:rFonts w:ascii="Arial" w:hAnsi="Arial" w:cs="Arial"/>
        </w:rPr>
        <w:t xml:space="preserve"> FULANO DE TAL</w:t>
      </w:r>
      <w:r w:rsidR="00FD7F7B" w:rsidRPr="00FD7F7B">
        <w:rPr>
          <w:rFonts w:ascii="Arial" w:hAnsi="Arial" w:cs="Arial"/>
        </w:rPr>
        <w:t xml:space="preserve">, </w:t>
      </w:r>
      <w:r w:rsidR="00C64CD6">
        <w:rPr>
          <w:rFonts w:ascii="Arial" w:hAnsi="Arial" w:cs="Arial"/>
        </w:rPr>
        <w:t>no valor de R$ 10</w:t>
      </w:r>
      <w:r>
        <w:rPr>
          <w:rFonts w:ascii="Arial" w:hAnsi="Arial" w:cs="Arial"/>
        </w:rPr>
        <w:t>0.000,00. Desta forma no ano de 2018, a empresa obteve como ingressos de recurso o valor de suas revendas de mercadorias e o valor aportado pelo sócio da época.</w:t>
      </w:r>
      <w:r w:rsidR="00521358">
        <w:rPr>
          <w:rFonts w:ascii="Arial" w:hAnsi="Arial" w:cs="Arial"/>
        </w:rPr>
        <w:t xml:space="preserve"> Onde a relação das despesas x ingressos de recursos não ultrapassa em 20% conforme determinação do fisco.</w:t>
      </w:r>
    </w:p>
    <w:p w14:paraId="07269F86" w14:textId="77777777" w:rsidR="00F558C6" w:rsidRDefault="009707EC" w:rsidP="00F55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Segue análise das despesas x Ingressos de Recursos:</w:t>
      </w:r>
    </w:p>
    <w:p w14:paraId="6FC2951E" w14:textId="77777777" w:rsidR="009707EC" w:rsidRDefault="00C64CD6" w:rsidP="00F558C6">
      <w:pPr>
        <w:jc w:val="both"/>
        <w:rPr>
          <w:rFonts w:ascii="Arial" w:hAnsi="Arial" w:cs="Arial"/>
        </w:rPr>
      </w:pPr>
      <w:r w:rsidRPr="00C64CD6">
        <w:rPr>
          <w:noProof/>
          <w:lang w:eastAsia="pt-BR"/>
        </w:rPr>
        <w:drawing>
          <wp:inline distT="0" distB="0" distL="0" distR="0" wp14:anchorId="6FB4EF5B" wp14:editId="0B4F79DC">
            <wp:extent cx="4143375" cy="15451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2" cy="1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9E01" w14:textId="77777777" w:rsidR="009707EC" w:rsidRDefault="009707EC" w:rsidP="00F558C6">
      <w:pPr>
        <w:jc w:val="both"/>
        <w:rPr>
          <w:rFonts w:ascii="Arial" w:hAnsi="Arial" w:cs="Arial"/>
        </w:rPr>
      </w:pPr>
    </w:p>
    <w:p w14:paraId="1BBD5AD1" w14:textId="77777777" w:rsidR="00F558C6" w:rsidRDefault="00F558C6" w:rsidP="00F55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comprovação das operações, encaminhamento para análise do fisco:</w:t>
      </w:r>
    </w:p>
    <w:p w14:paraId="4A51BE38" w14:textId="77777777" w:rsidR="00F558C6" w:rsidRDefault="00F558C6" w:rsidP="00F558C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Imposto de Renda Pessoa Física do sócio da época:</w:t>
      </w:r>
    </w:p>
    <w:p w14:paraId="3CFB5052" w14:textId="77777777" w:rsidR="00F558C6" w:rsidRDefault="00117A92" w:rsidP="00F558C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Recibo de Envio do imposto de renda pessoa física;</w:t>
      </w:r>
    </w:p>
    <w:p w14:paraId="10453BCC" w14:textId="77777777" w:rsidR="00117A92" w:rsidRDefault="00117A92" w:rsidP="00F558C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Livro Caixa com a escrituração do aporte para futuro aumento de capital;</w:t>
      </w:r>
    </w:p>
    <w:p w14:paraId="4B13CB10" w14:textId="77777777" w:rsidR="00117A92" w:rsidRDefault="00662EA1" w:rsidP="00F558C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de </w:t>
      </w:r>
      <w:r w:rsidR="00555798">
        <w:rPr>
          <w:rFonts w:ascii="Arial" w:hAnsi="Arial" w:cs="Arial"/>
        </w:rPr>
        <w:t>empresário com o sócio da época;</w:t>
      </w:r>
    </w:p>
    <w:p w14:paraId="5162095E" w14:textId="77777777" w:rsidR="00555798" w:rsidRPr="00F558C6" w:rsidRDefault="00555798" w:rsidP="00F558C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Razão conciliação da conta de aporte para futuro aumento de capital.</w:t>
      </w:r>
    </w:p>
    <w:p w14:paraId="390E2BD9" w14:textId="77777777" w:rsidR="00F558C6" w:rsidRPr="00F558C6" w:rsidRDefault="00F558C6" w:rsidP="00F558C6">
      <w:pPr>
        <w:jc w:val="both"/>
        <w:rPr>
          <w:rFonts w:ascii="Arial" w:hAnsi="Arial" w:cs="Arial"/>
        </w:rPr>
      </w:pPr>
    </w:p>
    <w:sectPr w:rsidR="00F558C6" w:rsidRPr="00F558C6" w:rsidSect="00226711">
      <w:headerReference w:type="even" r:id="rId10"/>
      <w:headerReference w:type="firs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2DB7" w14:textId="77777777" w:rsidR="00802645" w:rsidRDefault="00802645" w:rsidP="00202205">
      <w:pPr>
        <w:spacing w:after="0" w:line="240" w:lineRule="auto"/>
      </w:pPr>
      <w:r>
        <w:separator/>
      </w:r>
    </w:p>
  </w:endnote>
  <w:endnote w:type="continuationSeparator" w:id="0">
    <w:p w14:paraId="5976A469" w14:textId="77777777" w:rsidR="00802645" w:rsidRDefault="00802645" w:rsidP="002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5A4E" w14:textId="77777777" w:rsidR="00802645" w:rsidRDefault="00802645" w:rsidP="00202205">
      <w:pPr>
        <w:spacing w:after="0" w:line="240" w:lineRule="auto"/>
      </w:pPr>
      <w:r>
        <w:separator/>
      </w:r>
    </w:p>
  </w:footnote>
  <w:footnote w:type="continuationSeparator" w:id="0">
    <w:p w14:paraId="2A9E74F7" w14:textId="77777777" w:rsidR="00802645" w:rsidRDefault="00802645" w:rsidP="0020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449" w14:textId="77777777" w:rsidR="00202205" w:rsidRDefault="00000000">
    <w:pPr>
      <w:pStyle w:val="Cabealho"/>
    </w:pPr>
    <w:r>
      <w:rPr>
        <w:noProof/>
        <w:lang w:eastAsia="pt-BR"/>
      </w:rPr>
      <w:pict w14:anchorId="7B11A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73628" o:spid="_x0000_s1026" type="#_x0000_t75" style="position:absolute;margin-left:0;margin-top:0;width:591.4pt;height:836.15pt;z-index:-251657216;mso-position-horizontal:center;mso-position-horizontal-relative:margin;mso-position-vertical:center;mso-position-vertical-relative:margin" o:allowincell="f">
          <v:imagedata r:id="rId1" o:title="PA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ABAA" w14:textId="77777777" w:rsidR="00202205" w:rsidRDefault="00000000">
    <w:pPr>
      <w:pStyle w:val="Cabealho"/>
    </w:pPr>
    <w:r>
      <w:rPr>
        <w:noProof/>
        <w:lang w:eastAsia="pt-BR"/>
      </w:rPr>
      <w:pict w14:anchorId="6E660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73627" o:spid="_x0000_s1025" type="#_x0000_t75" style="position:absolute;margin-left:0;margin-top:0;width:591.4pt;height:836.15pt;z-index:-251658240;mso-position-horizontal:center;mso-position-horizontal-relative:margin;mso-position-vertical:center;mso-position-vertical-relative:margin" o:allowincell="f">
          <v:imagedata r:id="rId1" o:title="PAP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D74"/>
    <w:multiLevelType w:val="hybridMultilevel"/>
    <w:tmpl w:val="6EECD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CF0"/>
    <w:multiLevelType w:val="hybridMultilevel"/>
    <w:tmpl w:val="B798C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70D1"/>
    <w:multiLevelType w:val="hybridMultilevel"/>
    <w:tmpl w:val="84147C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84B"/>
    <w:multiLevelType w:val="hybridMultilevel"/>
    <w:tmpl w:val="7A9C54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962"/>
    <w:multiLevelType w:val="hybridMultilevel"/>
    <w:tmpl w:val="9F38D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420"/>
    <w:multiLevelType w:val="hybridMultilevel"/>
    <w:tmpl w:val="0C30D8A6"/>
    <w:lvl w:ilvl="0" w:tplc="0416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A182524"/>
    <w:multiLevelType w:val="hybridMultilevel"/>
    <w:tmpl w:val="27CC1790"/>
    <w:lvl w:ilvl="0" w:tplc="C9A67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11D"/>
    <w:multiLevelType w:val="hybridMultilevel"/>
    <w:tmpl w:val="FCFE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CD9"/>
    <w:multiLevelType w:val="hybridMultilevel"/>
    <w:tmpl w:val="7E1EAC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2A7C"/>
    <w:multiLevelType w:val="hybridMultilevel"/>
    <w:tmpl w:val="16C26CC6"/>
    <w:lvl w:ilvl="0" w:tplc="0416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59933363"/>
    <w:multiLevelType w:val="hybridMultilevel"/>
    <w:tmpl w:val="5712B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4214"/>
    <w:multiLevelType w:val="hybridMultilevel"/>
    <w:tmpl w:val="68367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42267"/>
    <w:multiLevelType w:val="hybridMultilevel"/>
    <w:tmpl w:val="F06E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2869"/>
    <w:multiLevelType w:val="hybridMultilevel"/>
    <w:tmpl w:val="A9A23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44FA"/>
    <w:multiLevelType w:val="hybridMultilevel"/>
    <w:tmpl w:val="D098FF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05AF0"/>
    <w:multiLevelType w:val="hybridMultilevel"/>
    <w:tmpl w:val="064846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0301"/>
    <w:multiLevelType w:val="hybridMultilevel"/>
    <w:tmpl w:val="D2D4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E15"/>
    <w:multiLevelType w:val="hybridMultilevel"/>
    <w:tmpl w:val="0FEA0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06971">
    <w:abstractNumId w:val="8"/>
  </w:num>
  <w:num w:numId="2" w16cid:durableId="766391414">
    <w:abstractNumId w:val="10"/>
  </w:num>
  <w:num w:numId="3" w16cid:durableId="1689217967">
    <w:abstractNumId w:val="9"/>
  </w:num>
  <w:num w:numId="4" w16cid:durableId="1385980426">
    <w:abstractNumId w:val="11"/>
  </w:num>
  <w:num w:numId="5" w16cid:durableId="36898370">
    <w:abstractNumId w:val="4"/>
  </w:num>
  <w:num w:numId="6" w16cid:durableId="1113550712">
    <w:abstractNumId w:val="15"/>
  </w:num>
  <w:num w:numId="7" w16cid:durableId="193344172">
    <w:abstractNumId w:val="5"/>
  </w:num>
  <w:num w:numId="8" w16cid:durableId="116798788">
    <w:abstractNumId w:val="12"/>
  </w:num>
  <w:num w:numId="9" w16cid:durableId="183249816">
    <w:abstractNumId w:val="7"/>
  </w:num>
  <w:num w:numId="10" w16cid:durableId="662128986">
    <w:abstractNumId w:val="16"/>
  </w:num>
  <w:num w:numId="11" w16cid:durableId="1093627020">
    <w:abstractNumId w:val="2"/>
  </w:num>
  <w:num w:numId="12" w16cid:durableId="1539507404">
    <w:abstractNumId w:val="14"/>
  </w:num>
  <w:num w:numId="13" w16cid:durableId="1532035860">
    <w:abstractNumId w:val="1"/>
  </w:num>
  <w:num w:numId="14" w16cid:durableId="151219361">
    <w:abstractNumId w:val="6"/>
  </w:num>
  <w:num w:numId="15" w16cid:durableId="11979629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4317927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8719367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38098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87"/>
    <w:rsid w:val="000A2EC9"/>
    <w:rsid w:val="00102AF5"/>
    <w:rsid w:val="00117A92"/>
    <w:rsid w:val="00136F87"/>
    <w:rsid w:val="001A7740"/>
    <w:rsid w:val="001F024F"/>
    <w:rsid w:val="00202205"/>
    <w:rsid w:val="00226711"/>
    <w:rsid w:val="00260A9E"/>
    <w:rsid w:val="002744EE"/>
    <w:rsid w:val="002964FC"/>
    <w:rsid w:val="002A7D33"/>
    <w:rsid w:val="00383E72"/>
    <w:rsid w:val="003F1D1C"/>
    <w:rsid w:val="00410B65"/>
    <w:rsid w:val="0041605B"/>
    <w:rsid w:val="004556CF"/>
    <w:rsid w:val="00460BFD"/>
    <w:rsid w:val="004B26F0"/>
    <w:rsid w:val="004D241A"/>
    <w:rsid w:val="00521358"/>
    <w:rsid w:val="00524687"/>
    <w:rsid w:val="00555798"/>
    <w:rsid w:val="00575444"/>
    <w:rsid w:val="005A1ADA"/>
    <w:rsid w:val="005D4C8E"/>
    <w:rsid w:val="005E4579"/>
    <w:rsid w:val="00662EA1"/>
    <w:rsid w:val="006952E5"/>
    <w:rsid w:val="006D4D18"/>
    <w:rsid w:val="006E6B07"/>
    <w:rsid w:val="00766BE4"/>
    <w:rsid w:val="007A2333"/>
    <w:rsid w:val="00802645"/>
    <w:rsid w:val="00864357"/>
    <w:rsid w:val="00887380"/>
    <w:rsid w:val="008A5348"/>
    <w:rsid w:val="008F0CEE"/>
    <w:rsid w:val="008F4567"/>
    <w:rsid w:val="008F5592"/>
    <w:rsid w:val="00930F85"/>
    <w:rsid w:val="009707EC"/>
    <w:rsid w:val="00971393"/>
    <w:rsid w:val="00A94CD7"/>
    <w:rsid w:val="00A97AB5"/>
    <w:rsid w:val="00AA729E"/>
    <w:rsid w:val="00B378F8"/>
    <w:rsid w:val="00B42596"/>
    <w:rsid w:val="00B503A2"/>
    <w:rsid w:val="00C3152F"/>
    <w:rsid w:val="00C64CD6"/>
    <w:rsid w:val="00C67A4F"/>
    <w:rsid w:val="00CF0153"/>
    <w:rsid w:val="00DC3A3E"/>
    <w:rsid w:val="00E01747"/>
    <w:rsid w:val="00E15E75"/>
    <w:rsid w:val="00E226BF"/>
    <w:rsid w:val="00E80E5B"/>
    <w:rsid w:val="00EB7F11"/>
    <w:rsid w:val="00EC3B2B"/>
    <w:rsid w:val="00F06E81"/>
    <w:rsid w:val="00F12C79"/>
    <w:rsid w:val="00F46BD5"/>
    <w:rsid w:val="00F558C6"/>
    <w:rsid w:val="00FA0C05"/>
    <w:rsid w:val="00FB0BBA"/>
    <w:rsid w:val="00FC52A4"/>
    <w:rsid w:val="00FD7F7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65DCC"/>
  <w15:chartTrackingRefBased/>
  <w15:docId w15:val="{FB8AD44F-554A-489F-A1A1-21C3410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2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2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205"/>
  </w:style>
  <w:style w:type="paragraph" w:styleId="Rodap">
    <w:name w:val="footer"/>
    <w:basedOn w:val="Normal"/>
    <w:link w:val="RodapChar"/>
    <w:uiPriority w:val="99"/>
    <w:unhideWhenUsed/>
    <w:rsid w:val="00202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205"/>
  </w:style>
  <w:style w:type="paragraph" w:styleId="Textodebalo">
    <w:name w:val="Balloon Text"/>
    <w:basedOn w:val="Normal"/>
    <w:link w:val="TextodebaloChar"/>
    <w:uiPriority w:val="99"/>
    <w:semiHidden/>
    <w:unhideWhenUsed/>
    <w:rsid w:val="0022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1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10B65"/>
    <w:rPr>
      <w:color w:val="0000FF"/>
      <w:u w:val="single"/>
    </w:rPr>
  </w:style>
  <w:style w:type="paragraph" w:customStyle="1" w:styleId="Default">
    <w:name w:val="Default"/>
    <w:rsid w:val="008A534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8B09-4FC4-4A14-A85D-6F32CC99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DECOM-06</dc:creator>
  <cp:keywords/>
  <dc:description/>
  <cp:lastModifiedBy>Leoni Costa</cp:lastModifiedBy>
  <cp:revision>2</cp:revision>
  <cp:lastPrinted>2019-08-30T16:56:00Z</cp:lastPrinted>
  <dcterms:created xsi:type="dcterms:W3CDTF">2023-10-17T19:41:00Z</dcterms:created>
  <dcterms:modified xsi:type="dcterms:W3CDTF">2023-10-17T19:41:00Z</dcterms:modified>
</cp:coreProperties>
</file>